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D4" w:rsidRPr="00DF7095" w:rsidRDefault="001B5BD4" w:rsidP="00DF7095">
      <w:pPr>
        <w:spacing w:after="0"/>
        <w:rPr>
          <w:b/>
          <w:sz w:val="28"/>
        </w:rPr>
      </w:pPr>
      <w:r w:rsidRPr="00DF7095">
        <w:rPr>
          <w:b/>
          <w:sz w:val="28"/>
        </w:rPr>
        <w:t xml:space="preserve">Difficulties </w:t>
      </w:r>
      <w:r w:rsidR="00C95704" w:rsidRPr="00DF7095">
        <w:rPr>
          <w:b/>
          <w:sz w:val="28"/>
        </w:rPr>
        <w:t>Proving Identity and Address</w:t>
      </w:r>
    </w:p>
    <w:p w:rsidR="00C95704" w:rsidRPr="00DF7095" w:rsidRDefault="00DF7095" w:rsidP="001B5BD4">
      <w:pPr>
        <w:rPr>
          <w:sz w:val="24"/>
        </w:rPr>
      </w:pPr>
      <w:r>
        <w:rPr>
          <w:sz w:val="24"/>
        </w:rPr>
        <w:t xml:space="preserve">One of the </w:t>
      </w:r>
      <w:r w:rsidR="00C95704" w:rsidRPr="00DF7095">
        <w:rPr>
          <w:sz w:val="24"/>
        </w:rPr>
        <w:t>main difficulties experienced by both refugees and asylum seekers in using financi</w:t>
      </w:r>
      <w:r w:rsidRPr="00DF7095">
        <w:rPr>
          <w:sz w:val="24"/>
        </w:rPr>
        <w:t>al services (including opening bank a</w:t>
      </w:r>
      <w:r w:rsidR="00C95704" w:rsidRPr="00DF7095">
        <w:rPr>
          <w:sz w:val="24"/>
        </w:rPr>
        <w:t>ccounts) is proving their identity and their address.</w:t>
      </w:r>
    </w:p>
    <w:p w:rsidR="00C95704" w:rsidRPr="00DF7095" w:rsidRDefault="00C95704" w:rsidP="00C95704">
      <w:pPr>
        <w:rPr>
          <w:sz w:val="24"/>
        </w:rPr>
      </w:pPr>
      <w:r w:rsidRPr="00DF7095">
        <w:rPr>
          <w:sz w:val="24"/>
        </w:rPr>
        <w:t xml:space="preserve">The Financial Conduct Authority’s guidance to opening a bank account can be </w:t>
      </w:r>
      <w:hyperlink r:id="rId7" w:history="1">
        <w:r w:rsidRPr="00DF7095">
          <w:rPr>
            <w:rStyle w:val="Hyperlink"/>
            <w:sz w:val="24"/>
          </w:rPr>
          <w:t>found here</w:t>
        </w:r>
      </w:hyperlink>
      <w:r w:rsidRPr="00DF7095">
        <w:rPr>
          <w:sz w:val="24"/>
        </w:rPr>
        <w:t xml:space="preserve"> and states the usual kinds of acceptable ID and proof of address. </w:t>
      </w:r>
    </w:p>
    <w:p w:rsidR="00C95704" w:rsidRPr="00DF7095" w:rsidRDefault="00C95704" w:rsidP="00C95704">
      <w:pPr>
        <w:rPr>
          <w:sz w:val="24"/>
        </w:rPr>
      </w:pPr>
      <w:r w:rsidRPr="00DF7095">
        <w:rPr>
          <w:sz w:val="24"/>
        </w:rPr>
        <w:t xml:space="preserve">This guidance also recognises that </w:t>
      </w:r>
      <w:r w:rsidR="003227B7" w:rsidRPr="00DF7095">
        <w:rPr>
          <w:sz w:val="24"/>
        </w:rPr>
        <w:t xml:space="preserve">“Financially Excluded Groups” (including </w:t>
      </w:r>
      <w:r w:rsidRPr="00DF7095">
        <w:rPr>
          <w:sz w:val="24"/>
        </w:rPr>
        <w:t>refugees and asylum seekers</w:t>
      </w:r>
      <w:r w:rsidR="003227B7" w:rsidRPr="00DF7095">
        <w:rPr>
          <w:sz w:val="24"/>
        </w:rPr>
        <w:t xml:space="preserve">) may struggle to provide some of this ID </w:t>
      </w:r>
      <w:r w:rsidRPr="00DF7095">
        <w:rPr>
          <w:sz w:val="24"/>
        </w:rPr>
        <w:t xml:space="preserve">and recommend that banks show flexibility in the kinds of proof they ask for.  </w:t>
      </w:r>
    </w:p>
    <w:p w:rsidR="00724BCC" w:rsidRPr="00724BCC" w:rsidRDefault="00724BCC" w:rsidP="00724BCC">
      <w:pPr>
        <w:spacing w:after="0"/>
        <w:rPr>
          <w:b/>
          <w:sz w:val="28"/>
        </w:rPr>
      </w:pPr>
      <w:r w:rsidRPr="00724BCC">
        <w:rPr>
          <w:b/>
          <w:sz w:val="28"/>
        </w:rPr>
        <w:t>Prevention of Money Laundering or Anti Money Laundering (</w:t>
      </w:r>
      <w:r>
        <w:rPr>
          <w:b/>
          <w:sz w:val="28"/>
        </w:rPr>
        <w:t>“</w:t>
      </w:r>
      <w:r w:rsidRPr="00724BCC">
        <w:rPr>
          <w:b/>
          <w:sz w:val="28"/>
        </w:rPr>
        <w:t>AML</w:t>
      </w:r>
      <w:r>
        <w:rPr>
          <w:b/>
          <w:sz w:val="28"/>
        </w:rPr>
        <w:t>”</w:t>
      </w:r>
      <w:r w:rsidRPr="00724BCC">
        <w:rPr>
          <w:b/>
          <w:sz w:val="28"/>
        </w:rPr>
        <w:t>)</w:t>
      </w:r>
    </w:p>
    <w:p w:rsidR="00724BCC" w:rsidRDefault="00724BCC" w:rsidP="00C95704">
      <w:pPr>
        <w:rPr>
          <w:sz w:val="24"/>
        </w:rPr>
      </w:pPr>
      <w:r>
        <w:rPr>
          <w:sz w:val="24"/>
        </w:rPr>
        <w:t xml:space="preserve">In 2003, banks were told to “toughen up” their checks on customers (“Customer Due Diligence”) to prevent money laundering. This made proving address and identity more difficult than before.  </w:t>
      </w:r>
    </w:p>
    <w:p w:rsidR="00C95704" w:rsidRPr="00DF7095" w:rsidRDefault="00C95704" w:rsidP="00C95704">
      <w:pPr>
        <w:rPr>
          <w:sz w:val="24"/>
        </w:rPr>
      </w:pPr>
      <w:r w:rsidRPr="00DF7095">
        <w:rPr>
          <w:sz w:val="24"/>
        </w:rPr>
        <w:t xml:space="preserve">The </w:t>
      </w:r>
      <w:hyperlink r:id="rId8" w:history="1">
        <w:r w:rsidRPr="00553B1E">
          <w:rPr>
            <w:rStyle w:val="Hyperlink"/>
            <w:sz w:val="24"/>
          </w:rPr>
          <w:t>Government guidance issued to Banks</w:t>
        </w:r>
        <w:r w:rsidRPr="00553B1E">
          <w:rPr>
            <w:rStyle w:val="Hyperlink"/>
            <w:sz w:val="24"/>
          </w:rPr>
          <w:t xml:space="preserve"> on the prevention of Mone</w:t>
        </w:r>
        <w:r w:rsidR="00724BCC">
          <w:rPr>
            <w:rStyle w:val="Hyperlink"/>
            <w:sz w:val="24"/>
          </w:rPr>
          <w:t xml:space="preserve">y Laundering </w:t>
        </w:r>
      </w:hyperlink>
      <w:r w:rsidRPr="00DF7095">
        <w:rPr>
          <w:sz w:val="24"/>
        </w:rPr>
        <w:t>also encourages flexibility in dealing with financially excluded group</w:t>
      </w:r>
      <w:r w:rsidR="00DF7095">
        <w:rPr>
          <w:sz w:val="24"/>
        </w:rPr>
        <w:t>s (p10) but also requires b</w:t>
      </w:r>
      <w:r w:rsidRPr="00DF7095">
        <w:rPr>
          <w:sz w:val="24"/>
        </w:rPr>
        <w:t xml:space="preserve">anks who show such flexibility to do more checking and monitoring accounts.  </w:t>
      </w:r>
    </w:p>
    <w:p w:rsidR="00C95704" w:rsidRPr="00DF7095" w:rsidRDefault="00DF7095" w:rsidP="00DF7095">
      <w:pPr>
        <w:spacing w:after="0"/>
        <w:rPr>
          <w:b/>
          <w:sz w:val="24"/>
        </w:rPr>
      </w:pPr>
      <w:r w:rsidRPr="00DF7095">
        <w:rPr>
          <w:b/>
          <w:sz w:val="24"/>
        </w:rPr>
        <w:t>Asylum Seekers</w:t>
      </w:r>
    </w:p>
    <w:p w:rsidR="00A16575" w:rsidRPr="00DF7095" w:rsidRDefault="00DF7095" w:rsidP="001B5BD4">
      <w:pPr>
        <w:rPr>
          <w:sz w:val="24"/>
        </w:rPr>
      </w:pPr>
      <w:r>
        <w:rPr>
          <w:sz w:val="24"/>
        </w:rPr>
        <w:t xml:space="preserve">In principle, </w:t>
      </w:r>
      <w:r w:rsidR="001B5BD4" w:rsidRPr="00DF7095">
        <w:rPr>
          <w:sz w:val="24"/>
        </w:rPr>
        <w:t xml:space="preserve">Asylum Seekers </w:t>
      </w:r>
      <w:r w:rsidR="00C95704" w:rsidRPr="00DF7095">
        <w:rPr>
          <w:sz w:val="24"/>
        </w:rPr>
        <w:t xml:space="preserve">may open </w:t>
      </w:r>
      <w:r w:rsidR="001B5BD4" w:rsidRPr="00DF7095">
        <w:rPr>
          <w:sz w:val="24"/>
        </w:rPr>
        <w:t>bank accounts</w:t>
      </w:r>
      <w:r w:rsidR="00C95704" w:rsidRPr="00DF7095">
        <w:rPr>
          <w:sz w:val="24"/>
        </w:rPr>
        <w:t xml:space="preserve"> </w:t>
      </w:r>
      <w:r w:rsidRPr="00DF7095">
        <w:rPr>
          <w:i/>
          <w:sz w:val="24"/>
        </w:rPr>
        <w:t>“</w:t>
      </w:r>
      <w:r w:rsidR="00C95704" w:rsidRPr="00DF7095">
        <w:rPr>
          <w:i/>
          <w:sz w:val="24"/>
        </w:rPr>
        <w:t>if they are entitled to work, to deposit money from abroad, or to receive financial support from the Home Office</w:t>
      </w:r>
      <w:r w:rsidRPr="00DF7095">
        <w:rPr>
          <w:i/>
          <w:sz w:val="24"/>
        </w:rPr>
        <w:t>.”</w:t>
      </w:r>
      <w:r w:rsidRPr="00DF7095">
        <w:rPr>
          <w:sz w:val="24"/>
        </w:rPr>
        <w:t xml:space="preserve"> In practice, those without the right to work in the UK will find it very difficult to meet the Proof of ID and Address required to open a bank. Even </w:t>
      </w:r>
      <w:hyperlink r:id="rId9" w:history="1">
        <w:r w:rsidR="00A16575">
          <w:rPr>
            <w:rStyle w:val="Hyperlink"/>
            <w:sz w:val="24"/>
          </w:rPr>
          <w:t>b</w:t>
        </w:r>
        <w:r w:rsidRPr="00DF7095">
          <w:rPr>
            <w:rStyle w:val="Hyperlink"/>
            <w:sz w:val="24"/>
          </w:rPr>
          <w:t>anks with very enlightened approaches</w:t>
        </w:r>
      </w:hyperlink>
      <w:r w:rsidRPr="00DF7095">
        <w:rPr>
          <w:sz w:val="24"/>
        </w:rPr>
        <w:t xml:space="preserve"> to customer sign-up</w:t>
      </w:r>
      <w:r>
        <w:rPr>
          <w:sz w:val="24"/>
        </w:rPr>
        <w:t xml:space="preserve"> are often unwilling to open banks for asylum seekers</w:t>
      </w:r>
      <w:r w:rsidRPr="00DF7095">
        <w:rPr>
          <w:sz w:val="24"/>
        </w:rPr>
        <w:t xml:space="preserve">. </w:t>
      </w:r>
    </w:p>
    <w:p w:rsidR="00DF7095" w:rsidRPr="00DF7095" w:rsidRDefault="00DF7095" w:rsidP="00DF7095">
      <w:pPr>
        <w:spacing w:after="0"/>
        <w:rPr>
          <w:b/>
          <w:sz w:val="24"/>
        </w:rPr>
      </w:pPr>
      <w:r w:rsidRPr="00DF7095">
        <w:rPr>
          <w:b/>
          <w:sz w:val="24"/>
        </w:rPr>
        <w:t>Refugees</w:t>
      </w:r>
    </w:p>
    <w:p w:rsidR="00A16575" w:rsidRDefault="001B5BD4" w:rsidP="001B5BD4">
      <w:pPr>
        <w:rPr>
          <w:b/>
          <w:sz w:val="24"/>
        </w:rPr>
      </w:pPr>
      <w:r w:rsidRPr="00DF7095">
        <w:rPr>
          <w:sz w:val="24"/>
        </w:rPr>
        <w:t xml:space="preserve">Refugees may </w:t>
      </w:r>
      <w:r w:rsidR="00B263EA">
        <w:rPr>
          <w:sz w:val="24"/>
        </w:rPr>
        <w:t xml:space="preserve">find it easier to </w:t>
      </w:r>
      <w:r w:rsidRPr="00DF7095">
        <w:rPr>
          <w:sz w:val="24"/>
        </w:rPr>
        <w:t>open a bank accounts</w:t>
      </w:r>
      <w:r w:rsidR="00B263EA">
        <w:rPr>
          <w:sz w:val="24"/>
        </w:rPr>
        <w:t xml:space="preserve"> (they will </w:t>
      </w:r>
      <w:r w:rsidR="00BD22AB">
        <w:rPr>
          <w:sz w:val="24"/>
        </w:rPr>
        <w:t xml:space="preserve">usually </w:t>
      </w:r>
      <w:r w:rsidR="00B263EA">
        <w:rPr>
          <w:sz w:val="24"/>
        </w:rPr>
        <w:t>have more ID, and proof of an address)</w:t>
      </w:r>
      <w:r w:rsidRPr="00DF7095">
        <w:rPr>
          <w:sz w:val="24"/>
        </w:rPr>
        <w:t xml:space="preserve"> but </w:t>
      </w:r>
      <w:r w:rsidR="00BD22AB">
        <w:rPr>
          <w:sz w:val="24"/>
        </w:rPr>
        <w:t>it can still be difficult.</w:t>
      </w:r>
    </w:p>
    <w:p w:rsidR="001248BA" w:rsidRDefault="00BD22AB" w:rsidP="00BD22AB">
      <w:pPr>
        <w:spacing w:after="0"/>
        <w:rPr>
          <w:b/>
          <w:sz w:val="28"/>
        </w:rPr>
      </w:pPr>
      <w:r w:rsidRPr="00BD22AB">
        <w:rPr>
          <w:b/>
          <w:sz w:val="28"/>
        </w:rPr>
        <w:t xml:space="preserve">Tactics for proving </w:t>
      </w:r>
      <w:r w:rsidR="00724BCC">
        <w:rPr>
          <w:b/>
          <w:sz w:val="28"/>
        </w:rPr>
        <w:t xml:space="preserve">identity and address </w:t>
      </w:r>
      <w:r w:rsidRPr="00BD22AB">
        <w:rPr>
          <w:b/>
          <w:sz w:val="28"/>
        </w:rPr>
        <w:t>ID to a financial service provider</w:t>
      </w:r>
    </w:p>
    <w:p w:rsidR="00B263EA" w:rsidRDefault="001248BA" w:rsidP="001248BA">
      <w:pPr>
        <w:pStyle w:val="ListParagraph"/>
        <w:numPr>
          <w:ilvl w:val="0"/>
          <w:numId w:val="2"/>
        </w:numPr>
        <w:ind w:left="360"/>
        <w:rPr>
          <w:b/>
          <w:sz w:val="24"/>
        </w:rPr>
      </w:pPr>
      <w:r w:rsidRPr="001248BA">
        <w:rPr>
          <w:b/>
          <w:sz w:val="24"/>
        </w:rPr>
        <w:t>G</w:t>
      </w:r>
      <w:r w:rsidR="00553B1E" w:rsidRPr="001248BA">
        <w:rPr>
          <w:b/>
          <w:sz w:val="24"/>
        </w:rPr>
        <w:t>ather as much ID a</w:t>
      </w:r>
      <w:r w:rsidRPr="001248BA">
        <w:rPr>
          <w:b/>
          <w:sz w:val="24"/>
        </w:rPr>
        <w:t>nd proof of address as possible,</w:t>
      </w:r>
      <w:r w:rsidR="00553B1E" w:rsidRPr="001248BA">
        <w:rPr>
          <w:b/>
          <w:sz w:val="24"/>
        </w:rPr>
        <w:t xml:space="preserve"> using the </w:t>
      </w:r>
      <w:hyperlink r:id="rId10" w:history="1">
        <w:r w:rsidRPr="001D454A">
          <w:rPr>
            <w:rStyle w:val="Hyperlink"/>
            <w:b/>
            <w:sz w:val="24"/>
          </w:rPr>
          <w:t>Prevention of Money L</w:t>
        </w:r>
        <w:r w:rsidR="00553B1E" w:rsidRPr="001D454A">
          <w:rPr>
            <w:rStyle w:val="Hyperlink"/>
            <w:b/>
            <w:sz w:val="24"/>
          </w:rPr>
          <w:t xml:space="preserve">aundering Guidance </w:t>
        </w:r>
        <w:r w:rsidRPr="001D454A">
          <w:rPr>
            <w:rStyle w:val="Hyperlink"/>
            <w:b/>
            <w:sz w:val="24"/>
          </w:rPr>
          <w:t>appendix</w:t>
        </w:r>
      </w:hyperlink>
      <w:bookmarkStart w:id="0" w:name="_GoBack"/>
      <w:bookmarkEnd w:id="0"/>
      <w:r w:rsidRPr="001248BA">
        <w:rPr>
          <w:b/>
          <w:sz w:val="24"/>
        </w:rPr>
        <w:t xml:space="preserve"> as </w:t>
      </w:r>
      <w:r w:rsidR="00553B1E" w:rsidRPr="001248BA">
        <w:rPr>
          <w:b/>
          <w:sz w:val="24"/>
        </w:rPr>
        <w:t xml:space="preserve">guide. </w:t>
      </w:r>
    </w:p>
    <w:p w:rsidR="00553B1E" w:rsidRPr="001248BA" w:rsidRDefault="00B263EA" w:rsidP="001248BA">
      <w:pPr>
        <w:pStyle w:val="ListParagraph"/>
        <w:numPr>
          <w:ilvl w:val="0"/>
          <w:numId w:val="1"/>
        </w:numPr>
        <w:ind w:left="720"/>
        <w:rPr>
          <w:i/>
          <w:sz w:val="24"/>
        </w:rPr>
      </w:pPr>
      <w:r w:rsidRPr="001248BA">
        <w:rPr>
          <w:i/>
          <w:sz w:val="24"/>
        </w:rPr>
        <w:t xml:space="preserve"> </w:t>
      </w:r>
      <w:r w:rsidR="00553B1E" w:rsidRPr="001248BA">
        <w:rPr>
          <w:i/>
          <w:sz w:val="24"/>
        </w:rPr>
        <w:t>“A letter from the warden of a homeless shelter… will normally be sufficient evidence” p13</w:t>
      </w:r>
    </w:p>
    <w:p w:rsidR="001248BA" w:rsidRPr="001248BA" w:rsidRDefault="00553B1E" w:rsidP="001248BA">
      <w:pPr>
        <w:pStyle w:val="ListParagraph"/>
        <w:numPr>
          <w:ilvl w:val="0"/>
          <w:numId w:val="1"/>
        </w:numPr>
        <w:ind w:left="720"/>
        <w:rPr>
          <w:i/>
          <w:sz w:val="24"/>
        </w:rPr>
      </w:pPr>
      <w:r w:rsidRPr="001248BA">
        <w:rPr>
          <w:i/>
          <w:sz w:val="24"/>
        </w:rPr>
        <w:t>Letters from the Home Office</w:t>
      </w:r>
      <w:r w:rsidR="001248BA" w:rsidRPr="001248BA">
        <w:rPr>
          <w:i/>
          <w:sz w:val="24"/>
        </w:rPr>
        <w:t>, or accommodation providers “should be of recent date” p15</w:t>
      </w:r>
    </w:p>
    <w:p w:rsidR="001248BA" w:rsidRPr="001248BA" w:rsidRDefault="001248BA" w:rsidP="001248BA">
      <w:pPr>
        <w:pStyle w:val="ListParagraph"/>
        <w:numPr>
          <w:ilvl w:val="0"/>
          <w:numId w:val="1"/>
        </w:numPr>
        <w:ind w:left="720"/>
        <w:rPr>
          <w:i/>
          <w:sz w:val="24"/>
        </w:rPr>
      </w:pPr>
      <w:r w:rsidRPr="001248BA">
        <w:rPr>
          <w:i/>
          <w:sz w:val="24"/>
        </w:rPr>
        <w:t>“All documents must be originals” p15</w:t>
      </w:r>
    </w:p>
    <w:p w:rsidR="001248BA" w:rsidRPr="001248BA" w:rsidRDefault="001248BA" w:rsidP="001248BA">
      <w:pPr>
        <w:pStyle w:val="ListParagraph"/>
        <w:numPr>
          <w:ilvl w:val="0"/>
          <w:numId w:val="1"/>
        </w:numPr>
        <w:ind w:left="720"/>
        <w:rPr>
          <w:i/>
          <w:sz w:val="24"/>
        </w:rPr>
      </w:pPr>
      <w:r w:rsidRPr="001248BA">
        <w:rPr>
          <w:i/>
          <w:sz w:val="24"/>
        </w:rPr>
        <w:t>“Passports, National Identity cards or travel documents must be c</w:t>
      </w:r>
      <w:r w:rsidR="00553B1E" w:rsidRPr="001248BA">
        <w:rPr>
          <w:i/>
          <w:sz w:val="24"/>
        </w:rPr>
        <w:t xml:space="preserve">urrent </w:t>
      </w:r>
      <w:proofErr w:type="spellStart"/>
      <w:r w:rsidRPr="001248BA">
        <w:rPr>
          <w:i/>
          <w:sz w:val="24"/>
        </w:rPr>
        <w:t>ie</w:t>
      </w:r>
      <w:proofErr w:type="spellEnd"/>
      <w:r w:rsidRPr="001248BA">
        <w:rPr>
          <w:i/>
          <w:sz w:val="24"/>
        </w:rPr>
        <w:t xml:space="preserve"> </w:t>
      </w:r>
      <w:r w:rsidR="00553B1E" w:rsidRPr="001248BA">
        <w:rPr>
          <w:i/>
          <w:sz w:val="24"/>
        </w:rPr>
        <w:t>unexpired</w:t>
      </w:r>
      <w:r w:rsidRPr="001248BA">
        <w:rPr>
          <w:i/>
          <w:sz w:val="24"/>
        </w:rPr>
        <w:t>”</w:t>
      </w:r>
      <w:r w:rsidR="00553B1E" w:rsidRPr="001248BA">
        <w:rPr>
          <w:i/>
          <w:sz w:val="24"/>
        </w:rPr>
        <w:t xml:space="preserve"> </w:t>
      </w:r>
      <w:r w:rsidRPr="001248BA">
        <w:rPr>
          <w:i/>
          <w:sz w:val="24"/>
        </w:rPr>
        <w:t>p15</w:t>
      </w:r>
    </w:p>
    <w:p w:rsidR="00553B1E" w:rsidRDefault="00553B1E" w:rsidP="001248BA">
      <w:pPr>
        <w:pStyle w:val="ListParagraph"/>
        <w:numPr>
          <w:ilvl w:val="0"/>
          <w:numId w:val="1"/>
        </w:numPr>
        <w:ind w:left="720"/>
        <w:rPr>
          <w:i/>
          <w:sz w:val="24"/>
        </w:rPr>
      </w:pPr>
      <w:r w:rsidRPr="001248BA">
        <w:rPr>
          <w:i/>
          <w:sz w:val="24"/>
        </w:rPr>
        <w:t>All documents should be recent originals</w:t>
      </w:r>
      <w:r w:rsidR="0075332B">
        <w:rPr>
          <w:i/>
          <w:sz w:val="24"/>
        </w:rPr>
        <w:t xml:space="preserve"> p14</w:t>
      </w:r>
    </w:p>
    <w:p w:rsidR="00B263EA" w:rsidRDefault="00B263EA" w:rsidP="00B263EA">
      <w:pPr>
        <w:pStyle w:val="ListParagraph"/>
        <w:rPr>
          <w:i/>
          <w:sz w:val="24"/>
        </w:rPr>
      </w:pPr>
    </w:p>
    <w:p w:rsidR="00B263EA" w:rsidRDefault="00B263EA" w:rsidP="00B263EA">
      <w:pPr>
        <w:pStyle w:val="ListParagraph"/>
        <w:numPr>
          <w:ilvl w:val="0"/>
          <w:numId w:val="2"/>
        </w:numPr>
        <w:ind w:left="426" w:hanging="426"/>
        <w:rPr>
          <w:b/>
          <w:sz w:val="24"/>
        </w:rPr>
      </w:pPr>
      <w:r w:rsidRPr="00B263EA">
        <w:rPr>
          <w:b/>
          <w:sz w:val="24"/>
        </w:rPr>
        <w:t xml:space="preserve">Be clear which </w:t>
      </w:r>
      <w:r>
        <w:rPr>
          <w:b/>
          <w:sz w:val="24"/>
        </w:rPr>
        <w:t xml:space="preserve">documents you think </w:t>
      </w:r>
      <w:r w:rsidRPr="00B263EA">
        <w:rPr>
          <w:b/>
          <w:sz w:val="24"/>
        </w:rPr>
        <w:t>prov</w:t>
      </w:r>
      <w:r>
        <w:rPr>
          <w:b/>
          <w:sz w:val="24"/>
        </w:rPr>
        <w:t>ide proof of a</w:t>
      </w:r>
      <w:r w:rsidRPr="00B263EA">
        <w:rPr>
          <w:b/>
          <w:sz w:val="24"/>
        </w:rPr>
        <w:t xml:space="preserve">ddress, and which is proving identity. </w:t>
      </w:r>
    </w:p>
    <w:p w:rsidR="00B263EA" w:rsidRPr="00BD22AB" w:rsidRDefault="00BD22AB" w:rsidP="00B263EA">
      <w:pPr>
        <w:pStyle w:val="ListParagraph"/>
        <w:numPr>
          <w:ilvl w:val="0"/>
          <w:numId w:val="1"/>
        </w:numPr>
        <w:ind w:left="720"/>
        <w:rPr>
          <w:i/>
          <w:sz w:val="24"/>
        </w:rPr>
      </w:pPr>
      <w:r w:rsidRPr="00BD22AB">
        <w:rPr>
          <w:i/>
          <w:sz w:val="24"/>
        </w:rPr>
        <w:t>T</w:t>
      </w:r>
      <w:r w:rsidR="00B263EA" w:rsidRPr="00BD22AB">
        <w:rPr>
          <w:i/>
          <w:sz w:val="24"/>
        </w:rPr>
        <w:t xml:space="preserve">his will make it easier to know which </w:t>
      </w:r>
      <w:r w:rsidRPr="00BD22AB">
        <w:rPr>
          <w:i/>
          <w:sz w:val="24"/>
        </w:rPr>
        <w:t xml:space="preserve">aspect someone is struggling with, and for them to be able to try and plug the gaps </w:t>
      </w:r>
    </w:p>
    <w:p w:rsidR="00BD22AB" w:rsidRDefault="00BD22AB" w:rsidP="001248BA">
      <w:pPr>
        <w:pStyle w:val="ListParagraph"/>
        <w:rPr>
          <w:i/>
          <w:sz w:val="24"/>
        </w:rPr>
      </w:pPr>
    </w:p>
    <w:p w:rsidR="001248BA" w:rsidRDefault="001248BA" w:rsidP="00BD22AB">
      <w:pPr>
        <w:pStyle w:val="ListParagraph"/>
        <w:rPr>
          <w:sz w:val="24"/>
        </w:rPr>
      </w:pPr>
    </w:p>
    <w:p w:rsidR="00BD22AB" w:rsidRDefault="001248BA" w:rsidP="00BD22AB">
      <w:pPr>
        <w:pStyle w:val="ListParagraph"/>
        <w:numPr>
          <w:ilvl w:val="0"/>
          <w:numId w:val="2"/>
        </w:numPr>
        <w:ind w:left="426" w:hanging="426"/>
        <w:rPr>
          <w:sz w:val="24"/>
        </w:rPr>
      </w:pPr>
      <w:r w:rsidRPr="00BD22AB">
        <w:rPr>
          <w:b/>
          <w:sz w:val="24"/>
        </w:rPr>
        <w:t>Don’t be afraid to show you know what you’re talking about</w:t>
      </w:r>
      <w:r w:rsidR="00BD22AB">
        <w:rPr>
          <w:sz w:val="24"/>
        </w:rPr>
        <w:t xml:space="preserve"> </w:t>
      </w:r>
    </w:p>
    <w:p w:rsidR="00147DB2" w:rsidRDefault="00147DB2" w:rsidP="00957CDB">
      <w:pPr>
        <w:pStyle w:val="ListParagraph"/>
        <w:numPr>
          <w:ilvl w:val="0"/>
          <w:numId w:val="3"/>
        </w:numPr>
        <w:rPr>
          <w:sz w:val="24"/>
        </w:rPr>
      </w:pPr>
      <w:r>
        <w:rPr>
          <w:sz w:val="24"/>
        </w:rPr>
        <w:t xml:space="preserve">In bank jargon, checking someone’s ID and address is sometimes called “Customer Due Diligence” or “Know Your Customer.” Showing you know this will give you credibility. </w:t>
      </w:r>
    </w:p>
    <w:p w:rsidR="00147DB2" w:rsidRDefault="00147DB2" w:rsidP="00957CDB">
      <w:pPr>
        <w:pStyle w:val="ListParagraph"/>
        <w:numPr>
          <w:ilvl w:val="0"/>
          <w:numId w:val="3"/>
        </w:numPr>
        <w:rPr>
          <w:sz w:val="24"/>
        </w:rPr>
      </w:pPr>
      <w:r>
        <w:rPr>
          <w:sz w:val="24"/>
        </w:rPr>
        <w:t xml:space="preserve">If need be, show you are familiar with </w:t>
      </w:r>
    </w:p>
    <w:p w:rsidR="00147DB2" w:rsidRDefault="001248BA" w:rsidP="00147DB2">
      <w:pPr>
        <w:pStyle w:val="ListParagraph"/>
        <w:numPr>
          <w:ilvl w:val="1"/>
          <w:numId w:val="3"/>
        </w:numPr>
        <w:rPr>
          <w:sz w:val="24"/>
        </w:rPr>
      </w:pPr>
      <w:r w:rsidRPr="00B263EA">
        <w:rPr>
          <w:sz w:val="24"/>
        </w:rPr>
        <w:t xml:space="preserve">the </w:t>
      </w:r>
      <w:r w:rsidR="00147DB2">
        <w:rPr>
          <w:sz w:val="24"/>
        </w:rPr>
        <w:t xml:space="preserve">Anti </w:t>
      </w:r>
      <w:r w:rsidRPr="00B263EA">
        <w:rPr>
          <w:sz w:val="24"/>
        </w:rPr>
        <w:t xml:space="preserve">Money Laundering </w:t>
      </w:r>
      <w:r w:rsidR="00147DB2">
        <w:rPr>
          <w:sz w:val="24"/>
        </w:rPr>
        <w:t>Guidance (AML Guidance)</w:t>
      </w:r>
      <w:r w:rsidRPr="00B263EA">
        <w:rPr>
          <w:sz w:val="24"/>
        </w:rPr>
        <w:t xml:space="preserve">, and </w:t>
      </w:r>
    </w:p>
    <w:p w:rsidR="00147DB2" w:rsidRDefault="001248BA" w:rsidP="00147DB2">
      <w:pPr>
        <w:pStyle w:val="ListParagraph"/>
        <w:numPr>
          <w:ilvl w:val="1"/>
          <w:numId w:val="3"/>
        </w:numPr>
        <w:rPr>
          <w:sz w:val="24"/>
        </w:rPr>
      </w:pPr>
      <w:r w:rsidRPr="00B263EA">
        <w:rPr>
          <w:sz w:val="24"/>
        </w:rPr>
        <w:t xml:space="preserve">the </w:t>
      </w:r>
      <w:hyperlink r:id="rId11" w:history="1">
        <w:r w:rsidRPr="00147DB2">
          <w:rPr>
            <w:rStyle w:val="Hyperlink"/>
            <w:sz w:val="24"/>
          </w:rPr>
          <w:t>F</w:t>
        </w:r>
        <w:r w:rsidR="00147DB2">
          <w:rPr>
            <w:rStyle w:val="Hyperlink"/>
            <w:sz w:val="24"/>
          </w:rPr>
          <w:t xml:space="preserve">inancial </w:t>
        </w:r>
        <w:r w:rsidRPr="00147DB2">
          <w:rPr>
            <w:rStyle w:val="Hyperlink"/>
            <w:sz w:val="24"/>
          </w:rPr>
          <w:t>C</w:t>
        </w:r>
        <w:r w:rsidR="00147DB2">
          <w:rPr>
            <w:rStyle w:val="Hyperlink"/>
            <w:sz w:val="24"/>
          </w:rPr>
          <w:t xml:space="preserve">onduct </w:t>
        </w:r>
        <w:r w:rsidRPr="00147DB2">
          <w:rPr>
            <w:rStyle w:val="Hyperlink"/>
            <w:sz w:val="24"/>
          </w:rPr>
          <w:t>A</w:t>
        </w:r>
        <w:r w:rsidR="00147DB2">
          <w:rPr>
            <w:rStyle w:val="Hyperlink"/>
            <w:sz w:val="24"/>
          </w:rPr>
          <w:t>uthority’s advice to f</w:t>
        </w:r>
        <w:r w:rsidRPr="00147DB2">
          <w:rPr>
            <w:rStyle w:val="Hyperlink"/>
            <w:sz w:val="24"/>
          </w:rPr>
          <w:t>irms</w:t>
        </w:r>
      </w:hyperlink>
      <w:r w:rsidRPr="00B263EA">
        <w:rPr>
          <w:sz w:val="24"/>
        </w:rPr>
        <w:t xml:space="preserve"> (banks like to be called firms)</w:t>
      </w:r>
      <w:r w:rsidR="00147DB2">
        <w:rPr>
          <w:sz w:val="24"/>
        </w:rPr>
        <w:t xml:space="preserve"> on AML</w:t>
      </w:r>
      <w:r w:rsidR="00B263EA" w:rsidRPr="00B263EA">
        <w:rPr>
          <w:sz w:val="24"/>
        </w:rPr>
        <w:t xml:space="preserve"> </w:t>
      </w:r>
    </w:p>
    <w:p w:rsidR="001248BA" w:rsidRPr="00B263EA" w:rsidRDefault="00B263EA" w:rsidP="00957CDB">
      <w:pPr>
        <w:pStyle w:val="ListParagraph"/>
        <w:numPr>
          <w:ilvl w:val="0"/>
          <w:numId w:val="3"/>
        </w:numPr>
        <w:rPr>
          <w:sz w:val="24"/>
        </w:rPr>
      </w:pPr>
      <w:r>
        <w:rPr>
          <w:sz w:val="24"/>
        </w:rPr>
        <w:t xml:space="preserve">Be prepared to reference this, from Part 2, p15 of the </w:t>
      </w:r>
      <w:hyperlink r:id="rId12" w:history="1">
        <w:r w:rsidRPr="00B263EA">
          <w:rPr>
            <w:rStyle w:val="Hyperlink"/>
            <w:sz w:val="24"/>
          </w:rPr>
          <w:t>Current JSMLG guidance</w:t>
        </w:r>
        <w:r w:rsidR="00BD22AB">
          <w:rPr>
            <w:rStyle w:val="Hyperlink"/>
            <w:sz w:val="24"/>
          </w:rPr>
          <w:t>:</w:t>
        </w:r>
        <w:r w:rsidRPr="00B263EA">
          <w:rPr>
            <w:rStyle w:val="Hyperlink"/>
            <w:sz w:val="24"/>
          </w:rPr>
          <w:t xml:space="preserve"> </w:t>
        </w:r>
      </w:hyperlink>
      <w:r w:rsidR="001248BA" w:rsidRPr="00B263EA">
        <w:rPr>
          <w:sz w:val="24"/>
        </w:rPr>
        <w:t xml:space="preserve"> </w:t>
      </w:r>
    </w:p>
    <w:p w:rsidR="001248BA" w:rsidRPr="001248BA" w:rsidRDefault="001248BA" w:rsidP="00B263EA">
      <w:pPr>
        <w:pStyle w:val="ListParagraph"/>
        <w:ind w:hanging="578"/>
        <w:rPr>
          <w:sz w:val="24"/>
        </w:rPr>
      </w:pPr>
      <w:r>
        <w:rPr>
          <w:noProof/>
          <w:lang w:eastAsia="en-GB"/>
        </w:rPr>
        <w:drawing>
          <wp:inline distT="0" distB="0" distL="0" distR="0" wp14:anchorId="2ECC43AC" wp14:editId="4637DF0A">
            <wp:extent cx="5731510" cy="1286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86510"/>
                    </a:xfrm>
                    <a:prstGeom prst="rect">
                      <a:avLst/>
                    </a:prstGeom>
                  </pic:spPr>
                </pic:pic>
              </a:graphicData>
            </a:graphic>
          </wp:inline>
        </w:drawing>
      </w:r>
    </w:p>
    <w:p w:rsidR="00B03BA4" w:rsidRDefault="00B03BA4" w:rsidP="00724BCC">
      <w:pPr>
        <w:spacing w:after="0"/>
        <w:rPr>
          <w:b/>
          <w:sz w:val="28"/>
        </w:rPr>
      </w:pPr>
    </w:p>
    <w:p w:rsidR="00724BCC" w:rsidRDefault="00724BCC" w:rsidP="00724BCC">
      <w:pPr>
        <w:spacing w:after="0"/>
        <w:rPr>
          <w:b/>
          <w:sz w:val="28"/>
        </w:rPr>
      </w:pPr>
      <w:r w:rsidRPr="00724BCC">
        <w:rPr>
          <w:b/>
          <w:sz w:val="28"/>
        </w:rPr>
        <w:t>Other Factors</w:t>
      </w:r>
    </w:p>
    <w:p w:rsidR="00F347C8" w:rsidRDefault="00724BCC" w:rsidP="00724BCC">
      <w:pPr>
        <w:rPr>
          <w:sz w:val="24"/>
        </w:rPr>
      </w:pPr>
      <w:r w:rsidRPr="00724BCC">
        <w:rPr>
          <w:sz w:val="24"/>
        </w:rPr>
        <w:t xml:space="preserve">Financial institutions </w:t>
      </w:r>
      <w:r>
        <w:rPr>
          <w:sz w:val="24"/>
        </w:rPr>
        <w:t xml:space="preserve">are </w:t>
      </w:r>
      <w:r w:rsidRPr="00724BCC">
        <w:rPr>
          <w:sz w:val="24"/>
        </w:rPr>
        <w:t>warned to be extra careful when deal</w:t>
      </w:r>
      <w:r w:rsidR="00F347C8">
        <w:rPr>
          <w:sz w:val="24"/>
        </w:rPr>
        <w:t xml:space="preserve">ing with people from </w:t>
      </w:r>
      <w:r w:rsidRPr="00724BCC">
        <w:rPr>
          <w:sz w:val="24"/>
        </w:rPr>
        <w:t>countr</w:t>
      </w:r>
      <w:r w:rsidR="00F347C8">
        <w:rPr>
          <w:sz w:val="24"/>
        </w:rPr>
        <w:t xml:space="preserve">ies where money laundering is easier than the UK.  </w:t>
      </w:r>
    </w:p>
    <w:p w:rsidR="00F347C8" w:rsidRDefault="00F347C8" w:rsidP="00724BCC">
      <w:pPr>
        <w:rPr>
          <w:sz w:val="24"/>
        </w:rPr>
      </w:pPr>
      <w:r>
        <w:rPr>
          <w:sz w:val="24"/>
        </w:rPr>
        <w:t>People</w:t>
      </w:r>
      <w:r w:rsidR="00724BCC">
        <w:rPr>
          <w:sz w:val="24"/>
        </w:rPr>
        <w:t xml:space="preserve"> from these countries</w:t>
      </w:r>
      <w:r>
        <w:rPr>
          <w:sz w:val="24"/>
        </w:rPr>
        <w:t xml:space="preserve"> </w:t>
      </w:r>
      <w:r w:rsidR="00724BCC">
        <w:rPr>
          <w:sz w:val="24"/>
        </w:rPr>
        <w:t xml:space="preserve">often </w:t>
      </w:r>
      <w:r>
        <w:rPr>
          <w:sz w:val="24"/>
        </w:rPr>
        <w:t xml:space="preserve">experience extra problems because they come from there. </w:t>
      </w:r>
      <w:r w:rsidR="00724BCC">
        <w:rPr>
          <w:sz w:val="24"/>
        </w:rPr>
        <w:t xml:space="preserve"> </w:t>
      </w:r>
    </w:p>
    <w:p w:rsidR="00BD22AB" w:rsidRDefault="00F347C8" w:rsidP="00724BCC">
      <w:pPr>
        <w:rPr>
          <w:sz w:val="24"/>
        </w:rPr>
      </w:pPr>
      <w:r>
        <w:rPr>
          <w:sz w:val="24"/>
        </w:rPr>
        <w:t xml:space="preserve">The list of countries is constantly changing so it’s hard to give an up to date list. As you might expect this list is usually made up of countries whose governments are linked with extremists, who are at war, or who have a poor record on upholding the rule of law.   </w:t>
      </w:r>
    </w:p>
    <w:p w:rsidR="00B03BA4" w:rsidRPr="00724BCC" w:rsidRDefault="00B03BA4" w:rsidP="00724BCC">
      <w:pPr>
        <w:rPr>
          <w:sz w:val="24"/>
        </w:rPr>
      </w:pPr>
    </w:p>
    <w:sectPr w:rsidR="00B03BA4" w:rsidRPr="00724BCC" w:rsidSect="0075332B">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5F" w:rsidRDefault="00692B5F" w:rsidP="00BD3358">
      <w:pPr>
        <w:spacing w:after="0" w:line="240" w:lineRule="auto"/>
      </w:pPr>
      <w:r>
        <w:separator/>
      </w:r>
    </w:p>
  </w:endnote>
  <w:endnote w:type="continuationSeparator" w:id="0">
    <w:p w:rsidR="00692B5F" w:rsidRDefault="00692B5F" w:rsidP="00BD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8" w:rsidRPr="0075332B" w:rsidRDefault="0075332B">
    <w:pPr>
      <w:pStyle w:val="Footer"/>
      <w:rPr>
        <w:b/>
        <w:sz w:val="28"/>
      </w:rPr>
    </w:pPr>
    <w:r w:rsidRPr="0075332B">
      <w:rPr>
        <w:b/>
        <w:sz w:val="28"/>
      </w:rPr>
      <w:t>ID Handout</w:t>
    </w:r>
    <w:r w:rsidR="00BD3358" w:rsidRPr="0075332B">
      <w:rPr>
        <w:b/>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5F" w:rsidRDefault="00692B5F" w:rsidP="00BD3358">
      <w:pPr>
        <w:spacing w:after="0" w:line="240" w:lineRule="auto"/>
      </w:pPr>
      <w:r>
        <w:separator/>
      </w:r>
    </w:p>
  </w:footnote>
  <w:footnote w:type="continuationSeparator" w:id="0">
    <w:p w:rsidR="00692B5F" w:rsidRDefault="00692B5F" w:rsidP="00BD3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8" w:rsidRPr="0075332B" w:rsidRDefault="0075332B" w:rsidP="00BD3358">
    <w:pPr>
      <w:pStyle w:val="Footer"/>
      <w:rPr>
        <w:b/>
        <w:sz w:val="28"/>
      </w:rPr>
    </w:pPr>
    <w:r w:rsidRPr="0075332B">
      <w:rPr>
        <w:b/>
        <w:sz w:val="28"/>
      </w:rPr>
      <w:t>Immigration Act, Bank Accounts and Refugees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7C4"/>
    <w:multiLevelType w:val="hybridMultilevel"/>
    <w:tmpl w:val="37A87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60554"/>
    <w:multiLevelType w:val="hybridMultilevel"/>
    <w:tmpl w:val="4600F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285B56"/>
    <w:multiLevelType w:val="hybridMultilevel"/>
    <w:tmpl w:val="B7220546"/>
    <w:lvl w:ilvl="0" w:tplc="95B84C2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5717B"/>
    <w:multiLevelType w:val="hybridMultilevel"/>
    <w:tmpl w:val="A976B3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3169F"/>
    <w:multiLevelType w:val="hybridMultilevel"/>
    <w:tmpl w:val="0A662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D0"/>
    <w:rsid w:val="000B15D0"/>
    <w:rsid w:val="001248BA"/>
    <w:rsid w:val="00147DB2"/>
    <w:rsid w:val="001B5BD4"/>
    <w:rsid w:val="001D454A"/>
    <w:rsid w:val="001E6F91"/>
    <w:rsid w:val="00263121"/>
    <w:rsid w:val="003227B7"/>
    <w:rsid w:val="0032709B"/>
    <w:rsid w:val="00553B1E"/>
    <w:rsid w:val="00692B5F"/>
    <w:rsid w:val="006E4B23"/>
    <w:rsid w:val="00724BCC"/>
    <w:rsid w:val="0075332B"/>
    <w:rsid w:val="00A16575"/>
    <w:rsid w:val="00B03BA4"/>
    <w:rsid w:val="00B263EA"/>
    <w:rsid w:val="00B72489"/>
    <w:rsid w:val="00BD22AB"/>
    <w:rsid w:val="00BD3358"/>
    <w:rsid w:val="00C95704"/>
    <w:rsid w:val="00DC11A1"/>
    <w:rsid w:val="00DF7095"/>
    <w:rsid w:val="00E33A39"/>
    <w:rsid w:val="00EF15CD"/>
    <w:rsid w:val="00F347C8"/>
    <w:rsid w:val="00FC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3797"/>
  <w15:chartTrackingRefBased/>
  <w15:docId w15:val="{FD98FA16-F366-4DF3-BED8-0B17B26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58"/>
  </w:style>
  <w:style w:type="paragraph" w:styleId="Footer">
    <w:name w:val="footer"/>
    <w:basedOn w:val="Normal"/>
    <w:link w:val="FooterChar"/>
    <w:uiPriority w:val="99"/>
    <w:unhideWhenUsed/>
    <w:rsid w:val="00BD3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58"/>
  </w:style>
  <w:style w:type="character" w:styleId="Hyperlink">
    <w:name w:val="Hyperlink"/>
    <w:basedOn w:val="DefaultParagraphFont"/>
    <w:uiPriority w:val="99"/>
    <w:unhideWhenUsed/>
    <w:rsid w:val="001B5BD4"/>
    <w:rPr>
      <w:color w:val="0563C1" w:themeColor="hyperlink"/>
      <w:u w:val="single"/>
    </w:rPr>
  </w:style>
  <w:style w:type="character" w:styleId="FollowedHyperlink">
    <w:name w:val="FollowedHyperlink"/>
    <w:basedOn w:val="DefaultParagraphFont"/>
    <w:uiPriority w:val="99"/>
    <w:semiHidden/>
    <w:unhideWhenUsed/>
    <w:rsid w:val="00553B1E"/>
    <w:rPr>
      <w:color w:val="954F72" w:themeColor="followedHyperlink"/>
      <w:u w:val="single"/>
    </w:rPr>
  </w:style>
  <w:style w:type="paragraph" w:styleId="ListParagraph">
    <w:name w:val="List Paragraph"/>
    <w:basedOn w:val="Normal"/>
    <w:uiPriority w:val="34"/>
    <w:qFormat/>
    <w:rsid w:val="0012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bb1xu32gvf2vp8g/Joint%20Money%20Laundering%20Steering%20Group%20Guidance%20to%20Retail%20Banks%20on%20ID%20Part_II_Nov_14.pdf?dl=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ca.org.uk/consumers/financial-services-products/banking/your-rights/opening-an-account" TargetMode="External"/><Relationship Id="rId12" Type="http://schemas.openxmlformats.org/officeDocument/2006/relationships/hyperlink" Target="http://www.jmlsg.org.uk/industry-guidance/article/jmlsg-guidance-curr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a.org.uk/firms/being-regulated/meeting-your-obligations/firm-guides/systems/a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s/bb1xu32gvf2vp8g/Joint%20Money%20Laundering%20Steering%20Group%20Guidance%20to%20Retail%20Banks%20on%20ID%20Part_II_Nov_14.pdf?dl=0" TargetMode="External"/><Relationship Id="rId4" Type="http://schemas.openxmlformats.org/officeDocument/2006/relationships/webSettings" Target="webSettings.xml"/><Relationship Id="rId9" Type="http://schemas.openxmlformats.org/officeDocument/2006/relationships/hyperlink" Target="https://www.metrobankonline.co.uk/Personal/What-you-need-to-open-an-account/How-to-open-an-Account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Jon Beech</cp:lastModifiedBy>
  <cp:revision>4</cp:revision>
  <dcterms:created xsi:type="dcterms:W3CDTF">2017-02-13T17:05:00Z</dcterms:created>
  <dcterms:modified xsi:type="dcterms:W3CDTF">2017-02-14T08:53:00Z</dcterms:modified>
</cp:coreProperties>
</file>